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FF6C79" w:rsidRDefault="00802EF5" w:rsidP="00FF6C79">
      <w:pPr>
        <w:spacing w:line="480" w:lineRule="auto"/>
        <w:ind w:firstLine="720"/>
        <w:jc w:val="center"/>
        <w:rPr>
          <w:rFonts w:ascii="Times New Roman" w:hAnsi="Times New Roman"/>
        </w:rPr>
      </w:pPr>
    </w:p>
    <w:p w:rsidR="00802EF5" w:rsidRPr="00FF6C79" w:rsidRDefault="00802EF5" w:rsidP="00FF6C79">
      <w:pPr>
        <w:spacing w:line="480" w:lineRule="auto"/>
        <w:ind w:firstLine="720"/>
        <w:jc w:val="center"/>
        <w:rPr>
          <w:rFonts w:ascii="Times New Roman" w:hAnsi="Times New Roman"/>
        </w:rPr>
      </w:pPr>
    </w:p>
    <w:p w:rsidR="00802EF5" w:rsidRPr="00FF6C79" w:rsidRDefault="00802EF5" w:rsidP="00FF6C79">
      <w:pPr>
        <w:spacing w:line="480" w:lineRule="auto"/>
        <w:ind w:firstLine="720"/>
        <w:jc w:val="center"/>
        <w:rPr>
          <w:rFonts w:ascii="Times New Roman" w:hAnsi="Times New Roman"/>
        </w:rPr>
      </w:pPr>
    </w:p>
    <w:p w:rsidR="009856F4" w:rsidRPr="00FF6C79" w:rsidRDefault="009856F4" w:rsidP="00FF6C79">
      <w:pPr>
        <w:spacing w:line="480" w:lineRule="auto"/>
        <w:jc w:val="center"/>
        <w:rPr>
          <w:rFonts w:ascii="Times New Roman" w:hAnsi="Times New Roman"/>
        </w:rPr>
      </w:pPr>
      <w:r w:rsidRPr="00FF6C79">
        <w:rPr>
          <w:rFonts w:ascii="Times New Roman" w:hAnsi="Times New Roman"/>
        </w:rPr>
        <w:t>Advanced Patient Assessment</w:t>
      </w:r>
    </w:p>
    <w:p w:rsidR="00802EF5" w:rsidRPr="00FF6C79" w:rsidRDefault="00A441CB" w:rsidP="00FF6C79">
      <w:pPr>
        <w:spacing w:line="480" w:lineRule="auto"/>
        <w:ind w:firstLine="720"/>
        <w:jc w:val="center"/>
        <w:rPr>
          <w:rFonts w:ascii="Times New Roman" w:hAnsi="Times New Roman"/>
        </w:rPr>
      </w:pPr>
      <w:r w:rsidRPr="00FF6C79">
        <w:rPr>
          <w:rFonts w:ascii="Times New Roman" w:hAnsi="Times New Roman"/>
        </w:rPr>
        <w:t>Student’s Name</w:t>
      </w:r>
    </w:p>
    <w:p w:rsidR="00802EF5" w:rsidRPr="00FF6C79" w:rsidRDefault="00A441CB" w:rsidP="00FF6C79">
      <w:pPr>
        <w:spacing w:line="480" w:lineRule="auto"/>
        <w:ind w:firstLine="720"/>
        <w:jc w:val="center"/>
        <w:rPr>
          <w:rFonts w:ascii="Times New Roman" w:hAnsi="Times New Roman"/>
        </w:rPr>
      </w:pPr>
      <w:r w:rsidRPr="00FF6C79">
        <w:rPr>
          <w:rFonts w:ascii="Times New Roman" w:hAnsi="Times New Roman"/>
        </w:rPr>
        <w:t>Institutional Affiliation</w:t>
      </w:r>
    </w:p>
    <w:p w:rsidR="00802EF5" w:rsidRPr="00FF6C79" w:rsidRDefault="00A441CB" w:rsidP="00FF6C79">
      <w:pPr>
        <w:spacing w:line="480" w:lineRule="auto"/>
        <w:ind w:firstLine="720"/>
        <w:jc w:val="center"/>
        <w:rPr>
          <w:rFonts w:ascii="Times New Roman" w:hAnsi="Times New Roman"/>
        </w:rPr>
      </w:pPr>
      <w:r w:rsidRPr="00FF6C79">
        <w:rPr>
          <w:rFonts w:ascii="Times New Roman" w:hAnsi="Times New Roman"/>
        </w:rPr>
        <w:t>Date</w:t>
      </w:r>
    </w:p>
    <w:p w:rsidR="00802EF5" w:rsidRPr="00FF6C79" w:rsidRDefault="009856F4" w:rsidP="00FF6C79">
      <w:pPr>
        <w:tabs>
          <w:tab w:val="left" w:pos="7050"/>
        </w:tabs>
        <w:spacing w:line="480" w:lineRule="auto"/>
        <w:ind w:firstLine="720"/>
        <w:rPr>
          <w:rFonts w:ascii="Times New Roman" w:hAnsi="Times New Roman"/>
        </w:rPr>
      </w:pPr>
      <w:r w:rsidRPr="00FF6C79">
        <w:rPr>
          <w:rFonts w:ascii="Times New Roman" w:hAnsi="Times New Roman"/>
        </w:rPr>
        <w:tab/>
      </w: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150898" w:rsidRPr="00FF6C79" w:rsidRDefault="00150898" w:rsidP="00FF6C79">
      <w:pPr>
        <w:spacing w:line="480" w:lineRule="auto"/>
        <w:ind w:firstLine="720"/>
        <w:rPr>
          <w:rFonts w:ascii="Times New Roman" w:hAnsi="Times New Roman"/>
        </w:rPr>
      </w:pPr>
    </w:p>
    <w:p w:rsidR="00150898" w:rsidRPr="00FF6C79" w:rsidRDefault="00150898" w:rsidP="00FF6C79">
      <w:pPr>
        <w:spacing w:line="480" w:lineRule="auto"/>
        <w:ind w:firstLine="720"/>
        <w:rPr>
          <w:rFonts w:ascii="Times New Roman" w:hAnsi="Times New Roman"/>
        </w:rPr>
      </w:pPr>
    </w:p>
    <w:p w:rsidR="00150898" w:rsidRPr="00FF6C79" w:rsidRDefault="00150898" w:rsidP="00FF6C79">
      <w:pPr>
        <w:spacing w:line="480" w:lineRule="auto"/>
        <w:ind w:firstLine="720"/>
        <w:rPr>
          <w:rFonts w:ascii="Times New Roman" w:hAnsi="Times New Roman"/>
        </w:rPr>
      </w:pPr>
    </w:p>
    <w:p w:rsidR="00150898" w:rsidRPr="00FF6C79" w:rsidRDefault="00150898" w:rsidP="00FF6C79">
      <w:pPr>
        <w:spacing w:line="480" w:lineRule="auto"/>
        <w:ind w:firstLine="720"/>
        <w:rPr>
          <w:rFonts w:ascii="Times New Roman" w:hAnsi="Times New Roman"/>
        </w:rPr>
      </w:pPr>
    </w:p>
    <w:p w:rsidR="00150898" w:rsidRPr="00FF6C79" w:rsidRDefault="00150898" w:rsidP="00FF6C79">
      <w:pPr>
        <w:spacing w:line="480" w:lineRule="auto"/>
        <w:ind w:firstLine="720"/>
        <w:rPr>
          <w:rFonts w:ascii="Times New Roman" w:hAnsi="Times New Roman"/>
        </w:rPr>
      </w:pPr>
    </w:p>
    <w:p w:rsidR="00802EF5" w:rsidRPr="00FF6C79" w:rsidRDefault="00802EF5" w:rsidP="00FF6C79">
      <w:pPr>
        <w:spacing w:line="480" w:lineRule="auto"/>
        <w:ind w:firstLine="720"/>
        <w:rPr>
          <w:rFonts w:ascii="Times New Roman" w:hAnsi="Times New Roman"/>
        </w:rPr>
      </w:pPr>
    </w:p>
    <w:p w:rsidR="00EC117D" w:rsidRPr="00FF6C79" w:rsidRDefault="006E6CD2" w:rsidP="00FF6C79">
      <w:pPr>
        <w:spacing w:line="480" w:lineRule="auto"/>
        <w:rPr>
          <w:rFonts w:ascii="Times New Roman" w:hAnsi="Times New Roman"/>
        </w:rPr>
      </w:pPr>
      <w:r w:rsidRPr="00FF6C79">
        <w:rPr>
          <w:rFonts w:ascii="Times New Roman" w:hAnsi="Times New Roman"/>
        </w:rPr>
        <w:lastRenderedPageBreak/>
        <w:t>Advanced Patient A</w:t>
      </w:r>
      <w:r w:rsidR="00EC117D" w:rsidRPr="00FF6C79">
        <w:rPr>
          <w:rFonts w:ascii="Times New Roman" w:hAnsi="Times New Roman"/>
        </w:rPr>
        <w:t>ssessment</w:t>
      </w:r>
    </w:p>
    <w:p w:rsidR="00EC117D" w:rsidRPr="00FF6C79" w:rsidRDefault="00EC117D" w:rsidP="00FF6C79">
      <w:pPr>
        <w:spacing w:line="480" w:lineRule="auto"/>
        <w:rPr>
          <w:rFonts w:ascii="Times New Roman" w:hAnsi="Times New Roman"/>
        </w:rPr>
      </w:pPr>
      <w:r w:rsidRPr="00FF6C79">
        <w:rPr>
          <w:rFonts w:ascii="Times New Roman" w:hAnsi="Times New Roman"/>
        </w:rPr>
        <w:t>Patient assessment is a significant reflection in every nursing practice for the quality provision and partial planning of the patient and the entire family-centered care. It's the role of every qualified nurse to conduct an advanced and comprehensive assessment in proper consultation with every individual and respond effectively to unexpected or rapidly changing situations. The principal motivation factor for undertaking this test is to receive consistent and timely body conditions from time to time. Patients are encouraged to perform a regular physical exam to remain confident with their medical state to avoid risk exposing them in a predisposing medical emergency</w:t>
      </w:r>
      <w:r w:rsidR="009E7205" w:rsidRPr="00FF6C79">
        <w:rPr>
          <w:rFonts w:ascii="Times New Roman" w:hAnsi="Times New Roman"/>
        </w:rPr>
        <w:t xml:space="preserve"> </w:t>
      </w:r>
      <w:r w:rsidR="009E7205" w:rsidRPr="00FF6C79">
        <w:rPr>
          <w:rFonts w:ascii="Times New Roman" w:hAnsi="Times New Roman"/>
        </w:rPr>
        <w:t xml:space="preserve">(Murtagh &amp; Oorschot, 2019 </w:t>
      </w:r>
      <w:r w:rsidR="009E7205" w:rsidRPr="00FF6C79">
        <w:rPr>
          <w:rFonts w:ascii="Times New Roman" w:hAnsi="Times New Roman"/>
        </w:rPr>
        <w:t>)</w:t>
      </w:r>
      <w:r w:rsidRPr="00FF6C79">
        <w:rPr>
          <w:rFonts w:ascii="Times New Roman" w:hAnsi="Times New Roman"/>
        </w:rPr>
        <w:t>. Theories</w:t>
      </w:r>
      <w:bookmarkStart w:id="0" w:name="_GoBack"/>
      <w:bookmarkEnd w:id="0"/>
      <w:r w:rsidRPr="00FF6C79">
        <w:rPr>
          <w:rFonts w:ascii="Times New Roman" w:hAnsi="Times New Roman"/>
        </w:rPr>
        <w:t xml:space="preserve"> are providing the framework to outline the tools adapted by every nurse to achieve optimal patient outcomes.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During the comprehensive patient assessment, there is a need for every nurse to ascertain the patient anxiety level. For a thorough physical examination, a system diagnosis is conducted to obtain general wellness and information on specific body systems. The clinician makes use of the opportunity to interview the patient to get valuable information. The examination gathers essential information in this crucial aspect. The responsible nurse can investigate systematic diseases. The hospitals attended before, surgery history, medications, drug, and social history, among other useful information—every focused patient exam to test the following components. Test Results, Neurological and cardiac status, vital signs, Lung, CNS, and PNS assessment, as discussed below.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To start with, Cognitive Dissonance. Innovators focused on developing neurological theories basing social psychology. The outstanding arguments outline the individual's behavior inconsistency and trial in making necessary changes and the need for adaptation in that consistency. The situation is evident in circumstances where patients are detected with a </w:t>
      </w:r>
      <w:r w:rsidRPr="00FF6C79">
        <w:rPr>
          <w:rFonts w:ascii="Times New Roman" w:hAnsi="Times New Roman"/>
        </w:rPr>
        <w:lastRenderedPageBreak/>
        <w:t xml:space="preserve">discrepancy in their life cycle. In most cases, actions done differ entirely from the belief, thus creating dissonance. For example, patients continue smoking despite knowing the health risks. The pressure attracting the truth contributes to mind disrupt, and discomfort and the advanced assessment will prompt the nurse to the patient's perception of threats and know the ultimate solution to hinder that. The selected treatment secures the patient's general wellness in the course of repairing the outweighed neurons, exerting significant probable positive changes.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The results presented by the patient after a successful test give a valuable source of information. Every test conducted needs to be assessed as a significant component of the comprehensive examination. Nurses make a comparison of the presented results and physical changes in abnormal physical evaluation. With the progressive measures to continuously monitor the predicted results, the underlying health problems lessen. These thorough examination displays the acute results to assess the general wellness and grant the required delivery of professional nursing care. Test results are a great way to track and gain the endurance awareness of your public health and is a significant promise to a healthy lifestyle</w:t>
      </w:r>
      <w:r w:rsidR="009E7205" w:rsidRPr="00FF6C79">
        <w:rPr>
          <w:rFonts w:ascii="Times New Roman" w:hAnsi="Times New Roman"/>
        </w:rPr>
        <w:t xml:space="preserve"> </w:t>
      </w:r>
      <w:r w:rsidR="009E7205" w:rsidRPr="00FF6C79">
        <w:rPr>
          <w:rFonts w:ascii="Times New Roman" w:hAnsi="Times New Roman"/>
        </w:rPr>
        <w:t>(Bailey, 2020)</w:t>
      </w:r>
      <w:r w:rsidRPr="00FF6C79">
        <w:rPr>
          <w:rFonts w:ascii="Times New Roman" w:hAnsi="Times New Roman"/>
        </w:rPr>
        <w:t>. The test flags in areas of concern during the treatment and equips with a chance for further tests.</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Every comprehensive patient assessment checks vital signs. These signs facilitate measurable components for the essential physiological functioning of the presented patient. The analysis focuses on taking a chain of measurements presenting the corresponding data of the overall body behavior. Undertaking this test reveals the wellness and the state of the patient to the examining personnel. Ancient innovators carefully proposed theories to document a series of vitals to offer education to the upcoming and future examining professionals. This argument is an ultimate guide to enact competency in the health facilities by providing a high-level diagnosis of the vitals. Vital signs advocate the need for evacuation to a more extended level of care. A </w:t>
      </w:r>
      <w:r w:rsidRPr="00FF6C79">
        <w:rPr>
          <w:rFonts w:ascii="Times New Roman" w:hAnsi="Times New Roman"/>
        </w:rPr>
        <w:lastRenderedPageBreak/>
        <w:t xml:space="preserve">variety of parameters like pulse rate, blood pressure, and respiratory rate are significantly portrayed in this assessment stage.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Recent research indicates that patients commonly consult their physicians for symptoms associated with the peripheral nervous system.  The dysfunction is another aspect raising the alarm in every comprehensive assessment done by a satisfied medical practitioner. In this practice, health care personnel </w:t>
      </w:r>
      <w:r w:rsidR="006E6CD2" w:rsidRPr="00FF6C79">
        <w:rPr>
          <w:rFonts w:ascii="Times New Roman" w:hAnsi="Times New Roman"/>
        </w:rPr>
        <w:t>conduct</w:t>
      </w:r>
      <w:r w:rsidRPr="00FF6C79">
        <w:rPr>
          <w:rFonts w:ascii="Times New Roman" w:hAnsi="Times New Roman"/>
        </w:rPr>
        <w:t xml:space="preserve"> the test in the process of evaluating the general wellness of the patient. Common themes associated with this abnormality are recorded in various documentaries to aid in the quick discovery of this disorder. These theories boost nurses' experience to deliver effective evaluation in the process of providing satisfactory services to the patients. The need for this component is to lead a happy lifestyle without any perceptual deficit. Any defect detected in the assessment process is addressed correctly, and safety measures are directed to guarantee wellness.</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Throughout the process, it is the primary duty of the medical officer on the task to uphold quality standards in the provision of quality care. The scientific care methods perceived to every patient guarantee the advanced set assessment. The availability of supportive documents enhances quality judgment to the standing information collected from the patient. The professional knowledge as trained; offers medical evidence to categorize detected conditions and draft the required plan of action. When the general performance throughout this assessment is successful, patients' remarkable feedback towards the experienced nurse and the institution is significant. The applicable nursing process has total responsibility on patient's welfare across different lineages of healthcare discipline. The approach used to safeguard the comprehensive patient care follows the following steps.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lastRenderedPageBreak/>
        <w:t>Any medical evaluation carried out is the first step of a systematic treatment. Mostly you find it regarded as the assessment phase. Before any treatment is directed to either patient, the medical practitioners on the exercise need to interview. The interview was done in all possible dimensions for informed information. They need to know as much as possible to distinguish and point out the patient's condition for proper medication. A smooth process is powered by the information gathered. Information depends on how the patient gives the expression and the interactional behavior observed. Alternatively, Physical examination is another technique to ascertain what a doctor might require. The underlying concept behind the whole process is to search the abnormality in the patient compared to what is normal. Earlier recognition defines the duration of treatment success.</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After the investigation, judgment is developed using the clinical skills upon evaluation of the potential health condition. This process is a phase where diagnosis happens. Tests are performed considering the observed health abnormality in the first phase, and they vary depending on the patient's suspected wellness. Those with a complicated health condition are assessed in a complex way and treated delicately to fulfill their needs. For example, a patient with limb fracture has chances of infection if there is contact with the skin. A detailed test is done in this case to check everything possible in the damaged area. The diagnosis interpretation is a founding pillar for every healthcare to plan and advice for the necessary treatment and the outline to indicate the recovery process.</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The planning phase is the key to the process as it provides outcomes and gives the formulated plan of the action after an advanced assessment. When a patient's tests agree with the doctor's suspected cases, a well-structured routine is prioritized.  However, if the condition persists, a medical expert might opt for multiple diagnoses in favor of the most urgent and </w:t>
      </w:r>
      <w:r w:rsidRPr="00FF6C79">
        <w:rPr>
          <w:rFonts w:ascii="Times New Roman" w:hAnsi="Times New Roman"/>
        </w:rPr>
        <w:lastRenderedPageBreak/>
        <w:t>critical situations. For instance, numerous injuries facilitating internal breeding requires accurate and quick health care with numerous investigations. For every medical disorder, the practitioner has to give an achievable, simplified, and measurable goal for the patient's speedy recovery.</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The recovery care plan and actions are discovered and determined in this phase. The doctor addresses possible interventions that responded to the patient's wellness undertaking the comprehensive assessment in the working facility. The critical role in this process is to ensure the patient is improving and is the condition is deteriorating; the health facility must assure further treatment. Random assessment is done to see if the patient requires special care, cure, or awareness. The administered treatment offered is put down in the patient records for continuity care for wellness during the hospitalization. The periodic implementation is a crucial promise to the high sense of treatment</w:t>
      </w:r>
      <w:r w:rsidR="006E6CD2" w:rsidRPr="00FF6C79">
        <w:rPr>
          <w:rFonts w:ascii="Times New Roman" w:hAnsi="Times New Roman"/>
        </w:rPr>
        <w:t xml:space="preserve"> </w:t>
      </w:r>
      <w:r w:rsidR="009E7205" w:rsidRPr="00FF6C79">
        <w:rPr>
          <w:rFonts w:ascii="Times New Roman" w:hAnsi="Times New Roman"/>
        </w:rPr>
        <w:t>(Allison &amp; Bennie, 2019}</w:t>
      </w:r>
      <w:r w:rsidRPr="00FF6C79">
        <w:rPr>
          <w:rFonts w:ascii="Times New Roman" w:hAnsi="Times New Roman"/>
        </w:rPr>
        <w:t xml:space="preserve">. </w:t>
      </w:r>
    </w:p>
    <w:p w:rsidR="00EC117D" w:rsidRPr="00FF6C79" w:rsidRDefault="00EC117D" w:rsidP="00FF6C79">
      <w:pPr>
        <w:spacing w:line="480" w:lineRule="auto"/>
        <w:ind w:firstLine="720"/>
        <w:rPr>
          <w:rFonts w:ascii="Times New Roman" w:hAnsi="Times New Roman"/>
        </w:rPr>
      </w:pPr>
      <w:r w:rsidRPr="00FF6C79">
        <w:rPr>
          <w:rFonts w:ascii="Times New Roman" w:hAnsi="Times New Roman"/>
        </w:rPr>
        <w:t xml:space="preserve">The final stage of a successful assessment is the evaluation phase. The main focus of this process is to check if the goals attained are too full satisfaction. Evaluation is dynamic in fulfillment services offered and health goals achieved. In this section, the following questions are investigated. Did the patient's condition improve? Is the state of the patient stable?  If it is realized that the patient showed no improvement and the health goals are yet to be fulfilled, then another new schedule is created to start the assessment plans again. </w:t>
      </w:r>
    </w:p>
    <w:p w:rsidR="00EC117D" w:rsidRPr="00FF6C79" w:rsidRDefault="00EC117D" w:rsidP="00FF6C79">
      <w:pPr>
        <w:spacing w:line="480" w:lineRule="auto"/>
        <w:rPr>
          <w:rFonts w:ascii="Times New Roman" w:hAnsi="Times New Roman"/>
        </w:rPr>
      </w:pPr>
      <w:r w:rsidRPr="00FF6C79">
        <w:rPr>
          <w:rFonts w:ascii="Times New Roman" w:hAnsi="Times New Roman"/>
        </w:rPr>
        <w:t xml:space="preserve">Conclusion </w:t>
      </w:r>
    </w:p>
    <w:p w:rsidR="006A3204" w:rsidRPr="00FF6C79" w:rsidRDefault="00EC117D" w:rsidP="00FF6C79">
      <w:pPr>
        <w:spacing w:line="480" w:lineRule="auto"/>
        <w:ind w:firstLine="720"/>
        <w:rPr>
          <w:rFonts w:ascii="Times New Roman" w:hAnsi="Times New Roman"/>
        </w:rPr>
      </w:pPr>
      <w:r w:rsidRPr="00FF6C79">
        <w:rPr>
          <w:rFonts w:ascii="Times New Roman" w:hAnsi="Times New Roman"/>
        </w:rPr>
        <w:t xml:space="preserve">Quality health services to lower the medical risks start with an advanced patient assessment powered with a comprehended way of systematic diagnosis. The ideal assessment is significant in establishing an adequate and timely plan. Every patient's medical status to be given priority to execute to lower risk levels of an unexpected medical disorder.  Documenting patient treatment guarantees efficiency in the recovery as a measure to consider is outlined. Every </w:t>
      </w:r>
      <w:r w:rsidRPr="00FF6C79">
        <w:rPr>
          <w:rFonts w:ascii="Times New Roman" w:hAnsi="Times New Roman"/>
        </w:rPr>
        <w:lastRenderedPageBreak/>
        <w:t>practitioner understands the origin of the abnormal situation, and the medical schedule created to it. Any complication with the patient is well stated, and the essential primary care initiated to fulfill the needs.</w:t>
      </w: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rPr>
          <w:rFonts w:ascii="Times New Roman" w:hAnsi="Times New Roman"/>
        </w:rPr>
      </w:pPr>
    </w:p>
    <w:p w:rsidR="00EC117D" w:rsidRPr="00FF6C79" w:rsidRDefault="00EC117D" w:rsidP="00FF6C79">
      <w:pPr>
        <w:spacing w:line="480" w:lineRule="auto"/>
        <w:jc w:val="center"/>
        <w:rPr>
          <w:rFonts w:ascii="Times New Roman" w:hAnsi="Times New Roman"/>
        </w:rPr>
      </w:pPr>
      <w:r w:rsidRPr="00FF6C79">
        <w:rPr>
          <w:rFonts w:ascii="Times New Roman" w:hAnsi="Times New Roman"/>
        </w:rPr>
        <w:lastRenderedPageBreak/>
        <w:t>References</w:t>
      </w:r>
    </w:p>
    <w:p w:rsidR="00EC117D" w:rsidRPr="00FF6C79" w:rsidRDefault="00FD0FCA" w:rsidP="00FF6C79">
      <w:pPr>
        <w:spacing w:line="480" w:lineRule="auto"/>
        <w:ind w:left="720" w:hanging="720"/>
        <w:rPr>
          <w:rFonts w:ascii="Times New Roman" w:hAnsi="Times New Roman"/>
        </w:rPr>
      </w:pPr>
      <w:r w:rsidRPr="00FF6C79">
        <w:rPr>
          <w:rFonts w:ascii="Times New Roman" w:hAnsi="Times New Roman"/>
        </w:rPr>
        <w:t>Murtagh, F. E., Ramsenthaler, C., Firth, A., Groeneveld, E. I., Lovell, N., Simon, S. T., ... &amp; van Oorschot, B. (2019). A brief, patient-and proxy-reported outcome measure in advanced illness: Validity, reliability and responsiveness of the Integrated Palliative care Outcome Scale (IPOS). </w:t>
      </w:r>
      <w:r w:rsidRPr="00FF6C79">
        <w:rPr>
          <w:rFonts w:ascii="Times New Roman" w:hAnsi="Times New Roman"/>
          <w:i/>
        </w:rPr>
        <w:t>Palliative medicine, 33(8), 1045-1057</w:t>
      </w:r>
      <w:r w:rsidRPr="00FF6C79">
        <w:rPr>
          <w:rFonts w:ascii="Times New Roman" w:hAnsi="Times New Roman"/>
        </w:rPr>
        <w:t>.</w:t>
      </w:r>
    </w:p>
    <w:p w:rsidR="00FD0FCA" w:rsidRPr="00FF6C79" w:rsidRDefault="00FD0FCA" w:rsidP="00FF6C79">
      <w:pPr>
        <w:spacing w:line="480" w:lineRule="auto"/>
        <w:ind w:left="720" w:hanging="720"/>
        <w:rPr>
          <w:rFonts w:ascii="Times New Roman" w:hAnsi="Times New Roman"/>
        </w:rPr>
      </w:pPr>
      <w:r w:rsidRPr="00FF6C79">
        <w:rPr>
          <w:rFonts w:ascii="Times New Roman" w:hAnsi="Times New Roman"/>
        </w:rPr>
        <w:t>Bailey, K. (2020). Safeguarding high-quality evidence-based care through advanced clinical practice. </w:t>
      </w:r>
      <w:r w:rsidRPr="00FF6C79">
        <w:rPr>
          <w:rFonts w:ascii="Times New Roman" w:hAnsi="Times New Roman"/>
          <w:i/>
        </w:rPr>
        <w:t>British Journal of Cardiac Nursing, 1-3.</w:t>
      </w:r>
    </w:p>
    <w:p w:rsidR="00FD0FCA" w:rsidRPr="00FF6C79" w:rsidRDefault="00FD0FCA" w:rsidP="00FF6C79">
      <w:pPr>
        <w:spacing w:line="480" w:lineRule="auto"/>
        <w:ind w:left="720" w:hanging="720"/>
        <w:rPr>
          <w:rFonts w:ascii="Times New Roman" w:hAnsi="Times New Roman"/>
        </w:rPr>
      </w:pPr>
      <w:r w:rsidRPr="00FF6C79">
        <w:rPr>
          <w:rFonts w:ascii="Times New Roman" w:hAnsi="Times New Roman"/>
        </w:rPr>
        <w:t>Allison, J., Fisher, J., Souter, C., &amp; Bennie, M. (2019). What patient assessment skills are required by pharmacists prescribing systemic anti-cancer therapy? A consensus study. </w:t>
      </w:r>
      <w:r w:rsidRPr="00FF6C79">
        <w:rPr>
          <w:rFonts w:ascii="Times New Roman" w:hAnsi="Times New Roman"/>
          <w:i/>
        </w:rPr>
        <w:t>Journal of Oncology Pharmacy Practice, 25(8), 1933-1944.</w:t>
      </w:r>
    </w:p>
    <w:p w:rsidR="00FD0FCA" w:rsidRPr="00FF6C79" w:rsidRDefault="009E7205" w:rsidP="00FF6C79">
      <w:pPr>
        <w:spacing w:line="480" w:lineRule="auto"/>
        <w:ind w:left="720" w:hanging="720"/>
        <w:rPr>
          <w:rFonts w:ascii="Times New Roman" w:hAnsi="Times New Roman"/>
        </w:rPr>
      </w:pPr>
      <w:r w:rsidRPr="00FF6C79">
        <w:rPr>
          <w:rFonts w:ascii="Times New Roman" w:hAnsi="Times New Roman"/>
        </w:rPr>
        <w:t xml:space="preserve"> </w:t>
      </w:r>
    </w:p>
    <w:p w:rsidR="00FD0FCA" w:rsidRPr="00FF6C79" w:rsidRDefault="00FD0FCA" w:rsidP="00FF6C79">
      <w:pPr>
        <w:spacing w:line="480" w:lineRule="auto"/>
        <w:rPr>
          <w:rFonts w:ascii="Times New Roman" w:hAnsi="Times New Roman"/>
        </w:rPr>
      </w:pPr>
    </w:p>
    <w:sectPr w:rsidR="00FD0FCA" w:rsidRPr="00FF6C79"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B35" w:rsidRDefault="00236B35">
      <w:r>
        <w:separator/>
      </w:r>
    </w:p>
  </w:endnote>
  <w:endnote w:type="continuationSeparator" w:id="0">
    <w:p w:rsidR="00236B35" w:rsidRDefault="0023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B35" w:rsidRDefault="00236B35">
      <w:r>
        <w:separator/>
      </w:r>
    </w:p>
  </w:footnote>
  <w:footnote w:type="continuationSeparator" w:id="0">
    <w:p w:rsidR="00236B35" w:rsidRDefault="00236B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9856F4">
    <w:pPr>
      <w:pStyle w:val="Header"/>
    </w:pPr>
    <w:r>
      <w:rPr>
        <w:rFonts w:ascii="Times New Roman" w:hAnsi="Times New Roman"/>
      </w:rPr>
      <w:t xml:space="preserve">PATIENT ASSESSMENT  </w:t>
    </w:r>
    <w:r w:rsidR="008F4C5A">
      <w:tab/>
    </w:r>
    <w:r w:rsidR="00A441CB">
      <w:tab/>
      <w:t xml:space="preserve">  </w:t>
    </w:r>
    <w:r w:rsidR="00A441CB">
      <w:fldChar w:fldCharType="begin"/>
    </w:r>
    <w:r w:rsidR="00A441CB">
      <w:instrText xml:space="preserve"> PAGE   \* MERGEFORMAT </w:instrText>
    </w:r>
    <w:r w:rsidR="00A441CB">
      <w:fldChar w:fldCharType="separate"/>
    </w:r>
    <w:r w:rsidR="0075563C">
      <w:rPr>
        <w:noProof/>
      </w:rPr>
      <w:t>8</w:t>
    </w:r>
    <w:r w:rsidR="00A441C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A441CB" w:rsidP="00802EF5">
    <w:pPr>
      <w:pStyle w:val="Header"/>
    </w:pPr>
    <w:r w:rsidRPr="002661A4">
      <w:rPr>
        <w:rFonts w:ascii="Times New Roman" w:hAnsi="Times New Roman"/>
      </w:rPr>
      <w:t xml:space="preserve">Running head: </w:t>
    </w:r>
    <w:r w:rsidR="009856F4">
      <w:rPr>
        <w:rFonts w:ascii="Times New Roman" w:hAnsi="Times New Roman"/>
      </w:rPr>
      <w:t xml:space="preserve">PATIENT ASSESSMENT  </w:t>
    </w:r>
    <w:r w:rsidR="009856F4">
      <w:rPr>
        <w:rFonts w:ascii="Times New Roman" w:hAnsi="Times New Roman"/>
      </w:rPr>
      <w:tab/>
    </w:r>
    <w:r w:rsidR="00802EF5">
      <w:tab/>
    </w:r>
    <w:r>
      <w:fldChar w:fldCharType="begin"/>
    </w:r>
    <w:r>
      <w:instrText xml:space="preserve"> PAGE   \* MERGEFORMAT </w:instrText>
    </w:r>
    <w:r>
      <w:fldChar w:fldCharType="separate"/>
    </w:r>
    <w:r w:rsidR="00FF6C79">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5"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14"/>
  </w:num>
  <w:num w:numId="6">
    <w:abstractNumId w:val="5"/>
  </w:num>
  <w:num w:numId="7">
    <w:abstractNumId w:val="15"/>
  </w:num>
  <w:num w:numId="8">
    <w:abstractNumId w:val="10"/>
  </w:num>
  <w:num w:numId="9">
    <w:abstractNumId w:val="3"/>
  </w:num>
  <w:num w:numId="10">
    <w:abstractNumId w:val="12"/>
  </w:num>
  <w:num w:numId="11">
    <w:abstractNumId w:val="2"/>
  </w:num>
  <w:num w:numId="12">
    <w:abstractNumId w:val="1"/>
  </w:num>
  <w:num w:numId="13">
    <w:abstractNumId w:val="13"/>
  </w:num>
  <w:num w:numId="14">
    <w:abstractNumId w:val="11"/>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6646F"/>
    <w:rsid w:val="000749BA"/>
    <w:rsid w:val="00096EF5"/>
    <w:rsid w:val="000A6558"/>
    <w:rsid w:val="000B4FC4"/>
    <w:rsid w:val="000C3FCE"/>
    <w:rsid w:val="0011095C"/>
    <w:rsid w:val="00111715"/>
    <w:rsid w:val="00112D3B"/>
    <w:rsid w:val="0011337F"/>
    <w:rsid w:val="0011474A"/>
    <w:rsid w:val="00117F73"/>
    <w:rsid w:val="00125B9D"/>
    <w:rsid w:val="0013187D"/>
    <w:rsid w:val="00146EE6"/>
    <w:rsid w:val="00150898"/>
    <w:rsid w:val="00166FDB"/>
    <w:rsid w:val="00173181"/>
    <w:rsid w:val="001820DA"/>
    <w:rsid w:val="00182812"/>
    <w:rsid w:val="001917F7"/>
    <w:rsid w:val="001A774E"/>
    <w:rsid w:val="001B5557"/>
    <w:rsid w:val="001B79CF"/>
    <w:rsid w:val="001C41D3"/>
    <w:rsid w:val="001C6FE7"/>
    <w:rsid w:val="001D7266"/>
    <w:rsid w:val="001E44C4"/>
    <w:rsid w:val="001F6BF5"/>
    <w:rsid w:val="002129C9"/>
    <w:rsid w:val="002159CB"/>
    <w:rsid w:val="00215FC7"/>
    <w:rsid w:val="00236B35"/>
    <w:rsid w:val="00247055"/>
    <w:rsid w:val="0026460F"/>
    <w:rsid w:val="00265569"/>
    <w:rsid w:val="002661A4"/>
    <w:rsid w:val="00272F6B"/>
    <w:rsid w:val="00285D06"/>
    <w:rsid w:val="00297C2B"/>
    <w:rsid w:val="002E2B82"/>
    <w:rsid w:val="002E404D"/>
    <w:rsid w:val="002E5C0B"/>
    <w:rsid w:val="002F58AF"/>
    <w:rsid w:val="003156DB"/>
    <w:rsid w:val="003161F4"/>
    <w:rsid w:val="00324F41"/>
    <w:rsid w:val="0033090A"/>
    <w:rsid w:val="00330C29"/>
    <w:rsid w:val="00331B2F"/>
    <w:rsid w:val="0033665E"/>
    <w:rsid w:val="003541AD"/>
    <w:rsid w:val="003544F1"/>
    <w:rsid w:val="00355A18"/>
    <w:rsid w:val="0036105E"/>
    <w:rsid w:val="00372258"/>
    <w:rsid w:val="0038285E"/>
    <w:rsid w:val="00384A6A"/>
    <w:rsid w:val="0038742E"/>
    <w:rsid w:val="003962E9"/>
    <w:rsid w:val="003A52C5"/>
    <w:rsid w:val="003E2FFC"/>
    <w:rsid w:val="0041472E"/>
    <w:rsid w:val="00442F0A"/>
    <w:rsid w:val="00460CB3"/>
    <w:rsid w:val="004671CB"/>
    <w:rsid w:val="004712A2"/>
    <w:rsid w:val="00474DA3"/>
    <w:rsid w:val="00496223"/>
    <w:rsid w:val="004B1DC7"/>
    <w:rsid w:val="004B2549"/>
    <w:rsid w:val="004C213C"/>
    <w:rsid w:val="004C7033"/>
    <w:rsid w:val="004D024D"/>
    <w:rsid w:val="004D3A6E"/>
    <w:rsid w:val="004E472A"/>
    <w:rsid w:val="004E4BDE"/>
    <w:rsid w:val="0055779D"/>
    <w:rsid w:val="00592B33"/>
    <w:rsid w:val="005A4745"/>
    <w:rsid w:val="005F3805"/>
    <w:rsid w:val="006133CA"/>
    <w:rsid w:val="00615B06"/>
    <w:rsid w:val="0062027C"/>
    <w:rsid w:val="00624621"/>
    <w:rsid w:val="00635EBF"/>
    <w:rsid w:val="00647B8B"/>
    <w:rsid w:val="00662436"/>
    <w:rsid w:val="006755D1"/>
    <w:rsid w:val="006810CA"/>
    <w:rsid w:val="006A3204"/>
    <w:rsid w:val="006B6EBC"/>
    <w:rsid w:val="006D2E95"/>
    <w:rsid w:val="006E1C16"/>
    <w:rsid w:val="006E6CD2"/>
    <w:rsid w:val="006F6DE1"/>
    <w:rsid w:val="006F7806"/>
    <w:rsid w:val="00707A16"/>
    <w:rsid w:val="00752592"/>
    <w:rsid w:val="00754AA7"/>
    <w:rsid w:val="0075563C"/>
    <w:rsid w:val="0077127B"/>
    <w:rsid w:val="0077492B"/>
    <w:rsid w:val="00783476"/>
    <w:rsid w:val="00784B17"/>
    <w:rsid w:val="007B0977"/>
    <w:rsid w:val="007C2E45"/>
    <w:rsid w:val="007E29AC"/>
    <w:rsid w:val="007E303D"/>
    <w:rsid w:val="007E590B"/>
    <w:rsid w:val="00802EF5"/>
    <w:rsid w:val="0080701C"/>
    <w:rsid w:val="00825D55"/>
    <w:rsid w:val="008279C5"/>
    <w:rsid w:val="00834443"/>
    <w:rsid w:val="00834FBF"/>
    <w:rsid w:val="00835BE6"/>
    <w:rsid w:val="00851770"/>
    <w:rsid w:val="0086383B"/>
    <w:rsid w:val="0086446C"/>
    <w:rsid w:val="00876D5D"/>
    <w:rsid w:val="008843CE"/>
    <w:rsid w:val="008B5272"/>
    <w:rsid w:val="008F4C5A"/>
    <w:rsid w:val="0090483C"/>
    <w:rsid w:val="00913C51"/>
    <w:rsid w:val="009214F5"/>
    <w:rsid w:val="009237BA"/>
    <w:rsid w:val="00936AE6"/>
    <w:rsid w:val="009528FC"/>
    <w:rsid w:val="009548DF"/>
    <w:rsid w:val="009564B2"/>
    <w:rsid w:val="0096642D"/>
    <w:rsid w:val="00970E24"/>
    <w:rsid w:val="00971F8E"/>
    <w:rsid w:val="0097706A"/>
    <w:rsid w:val="009856F4"/>
    <w:rsid w:val="00990964"/>
    <w:rsid w:val="009964CD"/>
    <w:rsid w:val="009A25E2"/>
    <w:rsid w:val="009B3AEE"/>
    <w:rsid w:val="009C061C"/>
    <w:rsid w:val="009D0C8D"/>
    <w:rsid w:val="009D2971"/>
    <w:rsid w:val="009E219E"/>
    <w:rsid w:val="009E522A"/>
    <w:rsid w:val="009E7205"/>
    <w:rsid w:val="009F433E"/>
    <w:rsid w:val="009F679F"/>
    <w:rsid w:val="00A002C2"/>
    <w:rsid w:val="00A11B9C"/>
    <w:rsid w:val="00A2324D"/>
    <w:rsid w:val="00A31442"/>
    <w:rsid w:val="00A325A0"/>
    <w:rsid w:val="00A342EC"/>
    <w:rsid w:val="00A422E8"/>
    <w:rsid w:val="00A441CB"/>
    <w:rsid w:val="00A4578B"/>
    <w:rsid w:val="00A67F03"/>
    <w:rsid w:val="00A73950"/>
    <w:rsid w:val="00A833DE"/>
    <w:rsid w:val="00AA6899"/>
    <w:rsid w:val="00AC3A93"/>
    <w:rsid w:val="00AC7503"/>
    <w:rsid w:val="00AD3B4C"/>
    <w:rsid w:val="00AD51F9"/>
    <w:rsid w:val="00AE7614"/>
    <w:rsid w:val="00AE7F33"/>
    <w:rsid w:val="00AF5A71"/>
    <w:rsid w:val="00AF75B3"/>
    <w:rsid w:val="00B27C3F"/>
    <w:rsid w:val="00B33CDA"/>
    <w:rsid w:val="00B67ADE"/>
    <w:rsid w:val="00BA1799"/>
    <w:rsid w:val="00BB24C4"/>
    <w:rsid w:val="00BE22FF"/>
    <w:rsid w:val="00BE2717"/>
    <w:rsid w:val="00BE3118"/>
    <w:rsid w:val="00BE43EB"/>
    <w:rsid w:val="00BF002C"/>
    <w:rsid w:val="00BF2B33"/>
    <w:rsid w:val="00BF3B37"/>
    <w:rsid w:val="00BF78ED"/>
    <w:rsid w:val="00C159D3"/>
    <w:rsid w:val="00C269C1"/>
    <w:rsid w:val="00C34621"/>
    <w:rsid w:val="00C413B3"/>
    <w:rsid w:val="00C54D7D"/>
    <w:rsid w:val="00C57AA0"/>
    <w:rsid w:val="00C67AEB"/>
    <w:rsid w:val="00CC6DC1"/>
    <w:rsid w:val="00CE41DC"/>
    <w:rsid w:val="00CF0396"/>
    <w:rsid w:val="00CF07E5"/>
    <w:rsid w:val="00CF5509"/>
    <w:rsid w:val="00D15AD1"/>
    <w:rsid w:val="00D30F97"/>
    <w:rsid w:val="00D54FC1"/>
    <w:rsid w:val="00D70BB1"/>
    <w:rsid w:val="00D8613A"/>
    <w:rsid w:val="00D93C10"/>
    <w:rsid w:val="00DB0E41"/>
    <w:rsid w:val="00DC4DE7"/>
    <w:rsid w:val="00DD287C"/>
    <w:rsid w:val="00DE7EC8"/>
    <w:rsid w:val="00DF229C"/>
    <w:rsid w:val="00E16B73"/>
    <w:rsid w:val="00E2310E"/>
    <w:rsid w:val="00E368D9"/>
    <w:rsid w:val="00E608FD"/>
    <w:rsid w:val="00E60B99"/>
    <w:rsid w:val="00E70155"/>
    <w:rsid w:val="00E77439"/>
    <w:rsid w:val="00EA473D"/>
    <w:rsid w:val="00EA793F"/>
    <w:rsid w:val="00EB25C3"/>
    <w:rsid w:val="00EC117D"/>
    <w:rsid w:val="00EC4E0B"/>
    <w:rsid w:val="00F02966"/>
    <w:rsid w:val="00F05549"/>
    <w:rsid w:val="00F20D1F"/>
    <w:rsid w:val="00F77277"/>
    <w:rsid w:val="00F92BD1"/>
    <w:rsid w:val="00FA022D"/>
    <w:rsid w:val="00FB3B4F"/>
    <w:rsid w:val="00FD0FCA"/>
    <w:rsid w:val="00FD3C4B"/>
    <w:rsid w:val="00FE0105"/>
    <w:rsid w:val="00FF53BF"/>
    <w:rsid w:val="00FF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93502F"/>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8686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none</dc:creator>
  <cp:lastModifiedBy>joseh</cp:lastModifiedBy>
  <cp:revision>2</cp:revision>
  <cp:lastPrinted>2019-02-28T18:28:00Z</cp:lastPrinted>
  <dcterms:created xsi:type="dcterms:W3CDTF">2020-07-21T21:15:00Z</dcterms:created>
  <dcterms:modified xsi:type="dcterms:W3CDTF">2020-07-21T21:15:00Z</dcterms:modified>
</cp:coreProperties>
</file>